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65" w:rsidRDefault="00833B65" w:rsidP="000B17C6">
      <w:pPr>
        <w:rPr>
          <w:b/>
          <w:color w:val="FF0000"/>
          <w:kern w:val="0"/>
          <w:sz w:val="84"/>
          <w:szCs w:val="84"/>
        </w:rPr>
      </w:pPr>
      <w:bookmarkStart w:id="0" w:name="_GoBack"/>
      <w:bookmarkEnd w:id="0"/>
    </w:p>
    <w:p w:rsidR="00FC5055" w:rsidRPr="00B55972" w:rsidRDefault="000B17C6" w:rsidP="000B17C6">
      <w:pPr>
        <w:rPr>
          <w:b/>
          <w:color w:val="FF0000"/>
          <w:sz w:val="144"/>
          <w:szCs w:val="144"/>
        </w:rPr>
      </w:pPr>
      <w:r w:rsidRPr="003D37C6">
        <w:rPr>
          <w:rFonts w:hint="eastAsia"/>
          <w:b/>
          <w:color w:val="FF0000"/>
          <w:w w:val="41"/>
          <w:kern w:val="0"/>
          <w:sz w:val="144"/>
          <w:szCs w:val="144"/>
          <w:fitText w:val="8320" w:id="752022784"/>
        </w:rPr>
        <w:t>四川</w:t>
      </w:r>
      <w:r w:rsidRPr="003D37C6">
        <w:rPr>
          <w:b/>
          <w:color w:val="FF0000"/>
          <w:w w:val="41"/>
          <w:kern w:val="0"/>
          <w:sz w:val="144"/>
          <w:szCs w:val="144"/>
          <w:fitText w:val="8320" w:id="752022784"/>
        </w:rPr>
        <w:t>正平信用评估有限公司文</w:t>
      </w:r>
      <w:r w:rsidRPr="003D37C6">
        <w:rPr>
          <w:b/>
          <w:color w:val="FF0000"/>
          <w:spacing w:val="25"/>
          <w:w w:val="41"/>
          <w:kern w:val="0"/>
          <w:sz w:val="144"/>
          <w:szCs w:val="144"/>
          <w:fitText w:val="8320" w:id="752022784"/>
        </w:rPr>
        <w:t>件</w:t>
      </w:r>
    </w:p>
    <w:p w:rsidR="00833B65" w:rsidRDefault="00833B65" w:rsidP="000B17C6">
      <w:pPr>
        <w:jc w:val="left"/>
        <w:rPr>
          <w:rFonts w:ascii="楷体" w:eastAsia="楷体" w:hAnsi="楷体"/>
          <w:sz w:val="24"/>
          <w:szCs w:val="28"/>
        </w:rPr>
      </w:pPr>
    </w:p>
    <w:p w:rsidR="000B17C6" w:rsidRPr="00750108" w:rsidRDefault="00750108" w:rsidP="000B17C6">
      <w:pPr>
        <w:jc w:val="left"/>
        <w:rPr>
          <w:rFonts w:ascii="楷体" w:eastAsia="楷体" w:hAnsi="楷体"/>
          <w:sz w:val="24"/>
          <w:szCs w:val="28"/>
        </w:rPr>
      </w:pPr>
      <w:r w:rsidRPr="00750108">
        <w:rPr>
          <w:rFonts w:ascii="楷体" w:eastAsia="楷体" w:hAnsi="楷体" w:hint="eastAsia"/>
          <w:sz w:val="24"/>
          <w:szCs w:val="28"/>
        </w:rPr>
        <w:t>正平</w:t>
      </w:r>
      <w:r w:rsidR="002C6D71">
        <w:rPr>
          <w:rFonts w:ascii="楷体" w:eastAsia="楷体" w:hAnsi="楷体" w:hint="eastAsia"/>
          <w:sz w:val="24"/>
          <w:szCs w:val="28"/>
        </w:rPr>
        <w:t>制</w:t>
      </w:r>
      <w:r w:rsidR="008C35C2">
        <w:rPr>
          <w:rFonts w:ascii="楷体" w:eastAsia="楷体" w:hAnsi="楷体" w:hint="eastAsia"/>
          <w:sz w:val="24"/>
          <w:szCs w:val="28"/>
        </w:rPr>
        <w:t>度</w:t>
      </w:r>
      <w:r w:rsidRPr="00750108">
        <w:rPr>
          <w:rFonts w:ascii="楷体" w:eastAsia="楷体" w:hAnsi="楷体" w:hint="eastAsia"/>
          <w:sz w:val="24"/>
          <w:szCs w:val="28"/>
        </w:rPr>
        <w:t>【2017】</w:t>
      </w:r>
      <w:r w:rsidR="001E49FB">
        <w:rPr>
          <w:rFonts w:ascii="楷体" w:eastAsia="楷体" w:hAnsi="楷体"/>
          <w:sz w:val="24"/>
          <w:szCs w:val="28"/>
        </w:rPr>
        <w:t>1</w:t>
      </w:r>
      <w:r w:rsidR="00283783">
        <w:rPr>
          <w:rFonts w:ascii="楷体" w:eastAsia="楷体" w:hAnsi="楷体"/>
          <w:sz w:val="24"/>
          <w:szCs w:val="28"/>
        </w:rPr>
        <w:t>5</w:t>
      </w:r>
      <w:r w:rsidRPr="00750108">
        <w:rPr>
          <w:rFonts w:ascii="楷体" w:eastAsia="楷体" w:hAnsi="楷体" w:hint="eastAsia"/>
          <w:sz w:val="24"/>
          <w:szCs w:val="28"/>
        </w:rPr>
        <w:t xml:space="preserve">号            </w:t>
      </w:r>
      <w:r>
        <w:rPr>
          <w:rFonts w:ascii="楷体" w:eastAsia="楷体" w:hAnsi="楷体"/>
          <w:sz w:val="24"/>
          <w:szCs w:val="28"/>
        </w:rPr>
        <w:t xml:space="preserve"> </w:t>
      </w:r>
      <w:r w:rsidRPr="00750108">
        <w:rPr>
          <w:rFonts w:ascii="楷体" w:eastAsia="楷体" w:hAnsi="楷体" w:hint="eastAsia"/>
          <w:sz w:val="24"/>
          <w:szCs w:val="28"/>
        </w:rPr>
        <w:t xml:space="preserve">   </w:t>
      </w:r>
      <w:r w:rsidRPr="00750108">
        <w:rPr>
          <w:rFonts w:ascii="楷体" w:eastAsia="楷体" w:hAnsi="楷体"/>
          <w:sz w:val="24"/>
          <w:szCs w:val="28"/>
        </w:rPr>
        <w:t xml:space="preserve">         </w:t>
      </w:r>
      <w:r w:rsidRPr="00750108">
        <w:rPr>
          <w:rFonts w:ascii="楷体" w:eastAsia="楷体" w:hAnsi="楷体" w:hint="eastAsia"/>
          <w:sz w:val="24"/>
          <w:szCs w:val="28"/>
        </w:rPr>
        <w:t xml:space="preserve">         签发人：刘正权</w:t>
      </w:r>
    </w:p>
    <w:p w:rsidR="00750108" w:rsidRDefault="00750108" w:rsidP="000B17C6">
      <w:pPr>
        <w:jc w:val="center"/>
        <w:rPr>
          <w:sz w:val="52"/>
          <w:szCs w:val="52"/>
        </w:rPr>
      </w:pPr>
      <w:r w:rsidRPr="00750108">
        <w:rPr>
          <w:rFonts w:ascii="楷体" w:eastAsia="楷体" w:hAnsi="楷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267325" cy="635"/>
                <wp:effectExtent l="0" t="19050" r="2857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10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4pt;width:414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EIIwIAAD4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" strokecolor="red" strokeweight="3pt"/>
            </w:pict>
          </mc:Fallback>
        </mc:AlternateContent>
      </w:r>
    </w:p>
    <w:p w:rsidR="007416B3" w:rsidRPr="00AA10E8" w:rsidRDefault="001E49FB" w:rsidP="001E49FB">
      <w:pPr>
        <w:ind w:right="-58"/>
        <w:jc w:val="center"/>
        <w:rPr>
          <w:rFonts w:ascii="楷体" w:eastAsia="楷体" w:hAnsi="楷体"/>
          <w:b/>
          <w:sz w:val="48"/>
          <w:szCs w:val="48"/>
        </w:rPr>
      </w:pPr>
      <w:r w:rsidRPr="001E49FB">
        <w:rPr>
          <w:rFonts w:ascii="楷体" w:eastAsia="楷体" w:hAnsi="楷体" w:hint="eastAsia"/>
          <w:b/>
          <w:sz w:val="48"/>
          <w:szCs w:val="48"/>
        </w:rPr>
        <w:t>信用评级评审委员会规范</w:t>
      </w:r>
    </w:p>
    <w:p w:rsidR="00607F92" w:rsidRDefault="00607F92" w:rsidP="00607F92">
      <w:pPr>
        <w:ind w:right="-58" w:firstLine="555"/>
        <w:rPr>
          <w:rFonts w:ascii="宋体" w:hAnsi="宋体"/>
          <w:sz w:val="28"/>
          <w:szCs w:val="28"/>
        </w:rPr>
      </w:pP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 w:rsidRPr="001E49FB">
        <w:rPr>
          <w:rFonts w:ascii="宋体" w:hAnsi="宋体" w:hint="eastAsia"/>
          <w:sz w:val="28"/>
          <w:szCs w:val="28"/>
        </w:rPr>
        <w:t>为了规范本公司开展企业信用等级评定工作，根据《中国人民银行信用评级管理指导意见》银发〔2006〕95号文件精神，结合本公司 章程规定，就本公司企业信用评级结果公示制定《信用评级评审委员会制度》（以下简称本规范）。</w:t>
      </w:r>
    </w:p>
    <w:p w:rsid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第一条 </w:t>
      </w:r>
      <w:r w:rsidRPr="001E49FB">
        <w:rPr>
          <w:rFonts w:ascii="宋体" w:hAnsi="宋体" w:hint="eastAsia"/>
          <w:sz w:val="28"/>
          <w:szCs w:val="28"/>
        </w:rPr>
        <w:t xml:space="preserve">公司评级评审委员会的组成。 公司评级评审委员会由5人组成，其中专家委员3人，具体项目评估人员1人，公司技术负责人1人组成。 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第二条 </w:t>
      </w:r>
      <w:r w:rsidRPr="001E49FB">
        <w:rPr>
          <w:rFonts w:ascii="宋体" w:hAnsi="宋体" w:hint="eastAsia"/>
          <w:sz w:val="28"/>
          <w:szCs w:val="28"/>
        </w:rPr>
        <w:t>评级评审委员会专家委员的条件：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1E49FB">
        <w:rPr>
          <w:rFonts w:ascii="宋体" w:hAnsi="宋体" w:hint="eastAsia"/>
          <w:sz w:val="28"/>
          <w:szCs w:val="28"/>
        </w:rPr>
        <w:t>需要具有丰富的会计、评估、金融、风险管理经历和经验；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1E49FB">
        <w:rPr>
          <w:rFonts w:ascii="宋体" w:hAnsi="宋体" w:hint="eastAsia"/>
          <w:sz w:val="28"/>
          <w:szCs w:val="28"/>
        </w:rPr>
        <w:t>需要有相关的会计、评估、风险管理，信用管理高级职称或相关职业资格；</w:t>
      </w:r>
    </w:p>
    <w:p w:rsid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（3）</w:t>
      </w:r>
      <w:r w:rsidRPr="001E49FB">
        <w:rPr>
          <w:rFonts w:ascii="宋体" w:hAnsi="宋体" w:hint="eastAsia"/>
          <w:sz w:val="28"/>
          <w:szCs w:val="28"/>
        </w:rPr>
        <w:t xml:space="preserve">具备参加信用评级评审的条件。 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第三条 </w:t>
      </w:r>
      <w:r w:rsidRPr="001E49FB">
        <w:rPr>
          <w:rFonts w:ascii="宋体" w:hAnsi="宋体" w:hint="eastAsia"/>
          <w:sz w:val="28"/>
          <w:szCs w:val="28"/>
        </w:rPr>
        <w:t>评级评审委员会的运行程序和表决机制：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1E49FB">
        <w:rPr>
          <w:rFonts w:ascii="宋体" w:hAnsi="宋体" w:hint="eastAsia"/>
          <w:sz w:val="28"/>
          <w:szCs w:val="28"/>
        </w:rPr>
        <w:t>市场部部在完成调查任务后，将资料交予评级分析部，评级分析部撰写出评级小组分析报告。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1E49FB">
        <w:rPr>
          <w:rFonts w:ascii="宋体" w:hAnsi="宋体" w:hint="eastAsia"/>
          <w:sz w:val="28"/>
          <w:szCs w:val="28"/>
        </w:rPr>
        <w:t>评级小组将分析报告提交评审委员会，评审会听取评估人员情况介绍，并对分析结果进行研讨，根据信用等级评定办法及级别限制条件，最后由评审委员会 投票决定被评主体的信用等级。出席评级委员会会议人员应不少于3人，评级结果须经2/3 以上的与会评审委员同意方为有效。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Pr="001E49FB">
        <w:rPr>
          <w:rFonts w:ascii="宋体" w:hAnsi="宋体" w:hint="eastAsia"/>
          <w:sz w:val="28"/>
          <w:szCs w:val="28"/>
        </w:rPr>
        <w:t>对于评级委员会未通过的调查报告，退回调查经营调查评价部做补充调查或调整调查结论。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</w:t>
      </w:r>
      <w:r w:rsidRPr="001E49FB">
        <w:rPr>
          <w:rFonts w:ascii="宋体" w:hAnsi="宋体" w:hint="eastAsia"/>
          <w:sz w:val="28"/>
          <w:szCs w:val="28"/>
        </w:rPr>
        <w:t>经评级委员会评审通过的调查报告草稿，由经营经营调查评价部反馈给被评对象，被评对象如果对信用等级调查报告内容和调查结论无异议的，被评对象 应签署同意调查结论的意见，并返回调查报告草稿。</w:t>
      </w:r>
    </w:p>
    <w:p w:rsid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</w:t>
      </w:r>
      <w:r w:rsidRPr="001E49FB">
        <w:rPr>
          <w:rFonts w:ascii="宋体" w:hAnsi="宋体" w:hint="eastAsia"/>
          <w:sz w:val="28"/>
          <w:szCs w:val="28"/>
        </w:rPr>
        <w:t xml:space="preserve">如被评对象有充分理由认为评级结果与实际情况存在较大差异，可在5个工作日内向信用评级机构提出复评申请并提供补充资料，复评次数仅限一次。 </w:t>
      </w:r>
    </w:p>
    <w:p w:rsidR="001E49F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第四条 </w:t>
      </w:r>
      <w:r w:rsidRPr="001E49FB">
        <w:rPr>
          <w:rFonts w:ascii="宋体" w:hAnsi="宋体" w:hint="eastAsia"/>
          <w:sz w:val="28"/>
          <w:szCs w:val="28"/>
        </w:rPr>
        <w:t>评级评审委员会的权限。</w:t>
      </w:r>
    </w:p>
    <w:p w:rsid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 w:rsidRPr="001E49FB">
        <w:rPr>
          <w:rFonts w:ascii="宋体" w:hAnsi="宋体"/>
          <w:sz w:val="28"/>
          <w:szCs w:val="28"/>
        </w:rPr>
        <w:t xml:space="preserve"> </w:t>
      </w:r>
      <w:r w:rsidRPr="001E49FB">
        <w:rPr>
          <w:rFonts w:ascii="宋体" w:hAnsi="宋体" w:hint="eastAsia"/>
          <w:sz w:val="28"/>
          <w:szCs w:val="28"/>
        </w:rPr>
        <w:t xml:space="preserve">评级评审委员会是公司能否发出信用评级报告的最高权利部门。未经过评级评审委员会程序通过的信用评级报告，任何人无权发出。 </w:t>
      </w:r>
    </w:p>
    <w:p w:rsid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第五条 </w:t>
      </w:r>
      <w:r w:rsidRPr="001E49FB">
        <w:rPr>
          <w:rFonts w:ascii="宋体" w:hAnsi="宋体" w:hint="eastAsia"/>
          <w:sz w:val="28"/>
          <w:szCs w:val="28"/>
        </w:rPr>
        <w:t xml:space="preserve">评级评审委员会承担的责任。评级评审委员会对发出的评级报告负责，承担相应的经济和法律责任。 </w:t>
      </w:r>
    </w:p>
    <w:p w:rsidR="0001040B" w:rsidRPr="001E49FB" w:rsidRDefault="001E49FB" w:rsidP="001E49FB">
      <w:pPr>
        <w:ind w:right="-58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第六条 </w:t>
      </w:r>
      <w:r w:rsidRPr="001E49FB">
        <w:rPr>
          <w:rFonts w:ascii="宋体" w:hAnsi="宋体" w:hint="eastAsia"/>
          <w:sz w:val="28"/>
          <w:szCs w:val="28"/>
        </w:rPr>
        <w:t>本规范自发布之日起生效。</w:t>
      </w: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B6F96" w:rsidRDefault="000B6F96" w:rsidP="00750E29">
      <w:pPr>
        <w:ind w:right="560" w:firstLine="555"/>
        <w:jc w:val="left"/>
        <w:rPr>
          <w:szCs w:val="21"/>
        </w:rPr>
      </w:pPr>
    </w:p>
    <w:p w:rsidR="000B6F96" w:rsidRDefault="000B6F96" w:rsidP="00750E29">
      <w:pPr>
        <w:ind w:right="560" w:firstLine="555"/>
        <w:jc w:val="left"/>
        <w:rPr>
          <w:szCs w:val="21"/>
        </w:rPr>
      </w:pPr>
    </w:p>
    <w:p w:rsidR="000B6F96" w:rsidRDefault="000B6F96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1E49FB" w:rsidRDefault="001E49F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p w:rsidR="0001040B" w:rsidRDefault="0001040B" w:rsidP="00750E29">
      <w:pPr>
        <w:ind w:right="560" w:firstLine="555"/>
        <w:jc w:val="left"/>
        <w:rPr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40E05" w:rsidTr="0001040B">
        <w:trPr>
          <w:jc w:val="center"/>
        </w:trPr>
        <w:tc>
          <w:tcPr>
            <w:tcW w:w="8296" w:type="dxa"/>
            <w:tcBorders>
              <w:top w:val="single" w:sz="12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hideMark/>
          </w:tcPr>
          <w:p w:rsidR="00840E05" w:rsidRDefault="003A661D" w:rsidP="00750108">
            <w:pPr>
              <w:spacing w:line="500" w:lineRule="exact"/>
              <w:ind w:leftChars="13" w:left="27" w:rightChars="100" w:right="21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抄</w:t>
            </w:r>
            <w:r w:rsidR="00E03E3D"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 w:rsidR="00840E05">
              <w:rPr>
                <w:rFonts w:ascii="仿宋_GB2312" w:eastAsia="仿宋_GB2312" w:hAnsi="宋体" w:hint="eastAsia"/>
                <w:sz w:val="28"/>
              </w:rPr>
              <w:t>送：</w:t>
            </w:r>
            <w:r w:rsidR="00750108">
              <w:rPr>
                <w:rFonts w:ascii="仿宋_GB2312" w:eastAsia="仿宋_GB2312" w:hAnsi="宋体" w:hint="eastAsia"/>
                <w:sz w:val="28"/>
              </w:rPr>
              <w:t>董事长</w:t>
            </w:r>
            <w:r w:rsidR="00E03E3D">
              <w:rPr>
                <w:rFonts w:ascii="仿宋_GB2312" w:eastAsia="仿宋_GB2312" w:hAnsi="宋体" w:hint="eastAsia"/>
                <w:sz w:val="28"/>
              </w:rPr>
              <w:t>；</w:t>
            </w:r>
            <w:r w:rsidR="00750108">
              <w:rPr>
                <w:rFonts w:ascii="仿宋_GB2312" w:eastAsia="仿宋_GB2312" w:hAnsi="宋体" w:hint="eastAsia"/>
                <w:sz w:val="28"/>
              </w:rPr>
              <w:t>总经理</w:t>
            </w:r>
            <w:r w:rsidR="00E03E3D">
              <w:rPr>
                <w:rFonts w:ascii="仿宋_GB2312" w:eastAsia="仿宋_GB2312" w:hAnsi="宋体" w:hint="eastAsia"/>
                <w:sz w:val="28"/>
              </w:rPr>
              <w:t>；</w:t>
            </w:r>
            <w:r w:rsidR="00750108">
              <w:rPr>
                <w:rFonts w:ascii="仿宋_GB2312" w:eastAsia="仿宋_GB2312" w:hAnsi="宋体" w:hint="eastAsia"/>
                <w:sz w:val="28"/>
              </w:rPr>
              <w:t>合规部</w:t>
            </w:r>
            <w:r w:rsidR="00E03E3D">
              <w:rPr>
                <w:rFonts w:ascii="仿宋_GB2312" w:eastAsia="仿宋_GB2312" w:hAnsi="宋体" w:hint="eastAsia"/>
                <w:sz w:val="28"/>
              </w:rPr>
              <w:t>。</w:t>
            </w:r>
          </w:p>
        </w:tc>
      </w:tr>
      <w:tr w:rsidR="00840E05" w:rsidRPr="00AA10E8" w:rsidTr="0001040B">
        <w:trPr>
          <w:trHeight w:val="358"/>
          <w:jc w:val="center"/>
        </w:trPr>
        <w:tc>
          <w:tcPr>
            <w:tcW w:w="8296" w:type="dxa"/>
            <w:tcBorders>
              <w:top w:val="single" w:sz="6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840E05" w:rsidRDefault="005328A4" w:rsidP="006476A5">
            <w:pPr>
              <w:spacing w:line="500" w:lineRule="exact"/>
              <w:ind w:rightChars="100" w:right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四川正平</w:t>
            </w:r>
            <w:r>
              <w:rPr>
                <w:rFonts w:ascii="仿宋_GB2312" w:eastAsia="仿宋_GB2312" w:hAnsi="宋体"/>
                <w:sz w:val="28"/>
              </w:rPr>
              <w:t>信用评估有限公司</w:t>
            </w:r>
            <w:r w:rsidR="002A0EDB">
              <w:rPr>
                <w:rFonts w:ascii="仿宋_GB2312" w:eastAsia="仿宋_GB2312" w:hAnsi="宋体" w:hint="eastAsia"/>
                <w:sz w:val="28"/>
              </w:rPr>
              <w:t xml:space="preserve">      </w:t>
            </w:r>
            <w:r w:rsidR="00F93749"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 w:rsidR="00840E05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</w:rPr>
              <w:t xml:space="preserve"> </w:t>
            </w:r>
            <w:bookmarkStart w:id="1" w:name="TASignYear"/>
            <w:bookmarkEnd w:id="1"/>
            <w:r w:rsidR="00840E05">
              <w:rPr>
                <w:rFonts w:ascii="仿宋_GB2312" w:eastAsia="仿宋_GB2312" w:hAnsi="宋体"/>
                <w:sz w:val="28"/>
              </w:rPr>
              <w:t>201</w:t>
            </w:r>
            <w:r w:rsidR="00750108">
              <w:rPr>
                <w:rFonts w:ascii="仿宋_GB2312" w:eastAsia="仿宋_GB2312" w:hAnsi="宋体"/>
                <w:sz w:val="28"/>
              </w:rPr>
              <w:t>7</w:t>
            </w:r>
            <w:r w:rsidR="00840E05">
              <w:rPr>
                <w:rFonts w:ascii="仿宋_GB2312" w:eastAsia="仿宋_GB2312" w:hAnsi="宋体" w:hint="eastAsia"/>
                <w:sz w:val="28"/>
              </w:rPr>
              <w:t>年</w:t>
            </w:r>
            <w:bookmarkStart w:id="2" w:name="TASignMonth"/>
            <w:bookmarkEnd w:id="2"/>
            <w:r w:rsidR="00283783">
              <w:rPr>
                <w:rFonts w:ascii="仿宋_GB2312" w:eastAsia="仿宋_GB2312" w:hAnsi="宋体"/>
                <w:sz w:val="28"/>
              </w:rPr>
              <w:t>5</w:t>
            </w:r>
            <w:r w:rsidR="00840E05">
              <w:rPr>
                <w:rFonts w:ascii="仿宋_GB2312" w:eastAsia="仿宋_GB2312" w:hAnsi="宋体" w:hint="eastAsia"/>
                <w:sz w:val="28"/>
              </w:rPr>
              <w:t>月</w:t>
            </w:r>
            <w:bookmarkStart w:id="3" w:name="TASignDay"/>
            <w:bookmarkEnd w:id="3"/>
            <w:r w:rsidR="00AA10E8">
              <w:rPr>
                <w:rFonts w:ascii="仿宋_GB2312" w:eastAsia="仿宋_GB2312" w:hAnsi="宋体"/>
                <w:sz w:val="28"/>
              </w:rPr>
              <w:t>1</w:t>
            </w:r>
            <w:r w:rsidR="00283783">
              <w:rPr>
                <w:rFonts w:ascii="仿宋_GB2312" w:eastAsia="仿宋_GB2312" w:hAnsi="宋体"/>
                <w:sz w:val="28"/>
              </w:rPr>
              <w:t>2</w:t>
            </w:r>
            <w:r w:rsidR="00840E05">
              <w:rPr>
                <w:rFonts w:ascii="仿宋_GB2312" w:eastAsia="仿宋_GB2312" w:hAnsi="宋体" w:hint="eastAsia"/>
                <w:sz w:val="28"/>
              </w:rPr>
              <w:t>日印</w:t>
            </w:r>
            <w:r>
              <w:rPr>
                <w:rFonts w:ascii="仿宋_GB2312" w:eastAsia="仿宋_GB2312" w:hAnsi="宋体" w:hint="eastAsia"/>
                <w:sz w:val="28"/>
              </w:rPr>
              <w:t>发</w:t>
            </w:r>
          </w:p>
        </w:tc>
      </w:tr>
    </w:tbl>
    <w:p w:rsidR="00840E05" w:rsidRPr="00283783" w:rsidRDefault="00840E05" w:rsidP="006445CA"/>
    <w:sectPr w:rsidR="00840E05" w:rsidRPr="00283783" w:rsidSect="0001040B">
      <w:pgSz w:w="11906" w:h="16838"/>
      <w:pgMar w:top="1418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371" w:rsidRDefault="00C23371" w:rsidP="00A45DB0">
      <w:r>
        <w:separator/>
      </w:r>
    </w:p>
  </w:endnote>
  <w:endnote w:type="continuationSeparator" w:id="0">
    <w:p w:rsidR="00C23371" w:rsidRDefault="00C23371" w:rsidP="00A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371" w:rsidRDefault="00C23371" w:rsidP="00A45DB0">
      <w:r>
        <w:separator/>
      </w:r>
    </w:p>
  </w:footnote>
  <w:footnote w:type="continuationSeparator" w:id="0">
    <w:p w:rsidR="00C23371" w:rsidRDefault="00C23371" w:rsidP="00A4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271BC"/>
    <w:multiLevelType w:val="hybridMultilevel"/>
    <w:tmpl w:val="0F1E61CC"/>
    <w:lvl w:ilvl="0" w:tplc="C7685C16">
      <w:start w:val="1"/>
      <w:numFmt w:val="japaneseCounting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55"/>
    <w:rsid w:val="0001040B"/>
    <w:rsid w:val="00012D05"/>
    <w:rsid w:val="00033D9B"/>
    <w:rsid w:val="0005214D"/>
    <w:rsid w:val="000803A7"/>
    <w:rsid w:val="00090375"/>
    <w:rsid w:val="000B17C6"/>
    <w:rsid w:val="000B6F96"/>
    <w:rsid w:val="000F1F5B"/>
    <w:rsid w:val="00130E5E"/>
    <w:rsid w:val="00160FDF"/>
    <w:rsid w:val="001D12A9"/>
    <w:rsid w:val="001E49FB"/>
    <w:rsid w:val="00283783"/>
    <w:rsid w:val="002A0EDB"/>
    <w:rsid w:val="002C6D71"/>
    <w:rsid w:val="002F493B"/>
    <w:rsid w:val="00370C43"/>
    <w:rsid w:val="003A661D"/>
    <w:rsid w:val="003B78EE"/>
    <w:rsid w:val="003D37C6"/>
    <w:rsid w:val="004057B3"/>
    <w:rsid w:val="004516BD"/>
    <w:rsid w:val="00472D22"/>
    <w:rsid w:val="004C268F"/>
    <w:rsid w:val="004E7349"/>
    <w:rsid w:val="005328A4"/>
    <w:rsid w:val="005507C3"/>
    <w:rsid w:val="005F2B73"/>
    <w:rsid w:val="00607F92"/>
    <w:rsid w:val="006445CA"/>
    <w:rsid w:val="006476A5"/>
    <w:rsid w:val="006C7E43"/>
    <w:rsid w:val="006F7891"/>
    <w:rsid w:val="007416B3"/>
    <w:rsid w:val="00744A22"/>
    <w:rsid w:val="00750108"/>
    <w:rsid w:val="00750E29"/>
    <w:rsid w:val="00833B65"/>
    <w:rsid w:val="00840E05"/>
    <w:rsid w:val="008C35C2"/>
    <w:rsid w:val="00900978"/>
    <w:rsid w:val="00986C59"/>
    <w:rsid w:val="00A0148A"/>
    <w:rsid w:val="00A45DB0"/>
    <w:rsid w:val="00A741D0"/>
    <w:rsid w:val="00A94018"/>
    <w:rsid w:val="00AA10E8"/>
    <w:rsid w:val="00AA7688"/>
    <w:rsid w:val="00AC4E4D"/>
    <w:rsid w:val="00B46387"/>
    <w:rsid w:val="00B55972"/>
    <w:rsid w:val="00C23371"/>
    <w:rsid w:val="00CC4B28"/>
    <w:rsid w:val="00D047A4"/>
    <w:rsid w:val="00D3719C"/>
    <w:rsid w:val="00D9599F"/>
    <w:rsid w:val="00DB42F8"/>
    <w:rsid w:val="00E03E3D"/>
    <w:rsid w:val="00E07663"/>
    <w:rsid w:val="00E13158"/>
    <w:rsid w:val="00E31202"/>
    <w:rsid w:val="00E85575"/>
    <w:rsid w:val="00F029C7"/>
    <w:rsid w:val="00F63316"/>
    <w:rsid w:val="00F93749"/>
    <w:rsid w:val="00FC5055"/>
    <w:rsid w:val="00FD2DFB"/>
    <w:rsid w:val="00FE08D8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479FB"/>
  <w15:chartTrackingRefBased/>
  <w15:docId w15:val="{1C708C66-5DAD-450D-9A4F-88C9F15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B3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4057B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A45DB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A45DB0"/>
    <w:rPr>
      <w:kern w:val="2"/>
      <w:sz w:val="18"/>
      <w:szCs w:val="18"/>
    </w:rPr>
  </w:style>
  <w:style w:type="paragraph" w:styleId="a9">
    <w:name w:val="Body Text Indent"/>
    <w:basedOn w:val="a"/>
    <w:link w:val="aa"/>
    <w:rsid w:val="005507C3"/>
    <w:pPr>
      <w:spacing w:line="360" w:lineRule="auto"/>
      <w:ind w:firstLineChars="225" w:firstLine="540"/>
    </w:pPr>
    <w:rPr>
      <w:rFonts w:ascii="宋体" w:hAnsi="宋体"/>
      <w:sz w:val="24"/>
      <w:szCs w:val="20"/>
    </w:rPr>
  </w:style>
  <w:style w:type="character" w:customStyle="1" w:styleId="aa">
    <w:name w:val="正文文本缩进 字符"/>
    <w:link w:val="a9"/>
    <w:rsid w:val="005507C3"/>
    <w:rPr>
      <w:rFonts w:ascii="宋体" w:hAnsi="宋体"/>
      <w:kern w:val="2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0E05"/>
    <w:pPr>
      <w:ind w:leftChars="2500" w:left="100"/>
    </w:pPr>
  </w:style>
  <w:style w:type="character" w:customStyle="1" w:styleId="ac">
    <w:name w:val="日期 字符"/>
    <w:link w:val="ab"/>
    <w:uiPriority w:val="99"/>
    <w:semiHidden/>
    <w:rsid w:val="00840E05"/>
    <w:rPr>
      <w:kern w:val="2"/>
      <w:sz w:val="21"/>
      <w:szCs w:val="22"/>
    </w:rPr>
  </w:style>
  <w:style w:type="paragraph" w:styleId="ad">
    <w:name w:val="No Spacing"/>
    <w:uiPriority w:val="1"/>
    <w:qFormat/>
    <w:rsid w:val="00130E5E"/>
    <w:pPr>
      <w:widowControl w:val="0"/>
      <w:jc w:val="both"/>
    </w:pPr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012D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徐涛</dc:creator>
  <cp:keywords/>
  <dc:description/>
  <cp:lastModifiedBy>jie xu</cp:lastModifiedBy>
  <cp:revision>6</cp:revision>
  <cp:lastPrinted>2017-11-20T02:38:00Z</cp:lastPrinted>
  <dcterms:created xsi:type="dcterms:W3CDTF">2017-11-02T07:10:00Z</dcterms:created>
  <dcterms:modified xsi:type="dcterms:W3CDTF">2017-11-20T02:39:00Z</dcterms:modified>
</cp:coreProperties>
</file>